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A628" w14:textId="77777777" w:rsidR="00063279" w:rsidRPr="00BC6466" w:rsidRDefault="00063279" w:rsidP="00063279">
      <w:pPr>
        <w:pStyle w:val="Header"/>
        <w:rPr>
          <w:rFonts w:asciiTheme="minorHAnsi" w:hAnsiTheme="minorHAnsi" w:cstheme="minorHAnsi"/>
          <w:sz w:val="22"/>
          <w:szCs w:val="22"/>
        </w:rPr>
      </w:pPr>
      <w:r w:rsidRPr="00BC6466">
        <w:rPr>
          <w:rFonts w:asciiTheme="minorHAnsi" w:eastAsia="Times" w:hAnsiTheme="minorHAnsi" w:cstheme="minorHAnsi"/>
          <w:noProof/>
          <w:sz w:val="22"/>
          <w:szCs w:val="22"/>
          <w:lang w:val="en-US" w:eastAsia="en-US"/>
        </w:rPr>
        <w:drawing>
          <wp:inline distT="0" distB="0" distL="0" distR="0" wp14:anchorId="208E21F4" wp14:editId="07B95AD2">
            <wp:extent cx="6309360" cy="1095375"/>
            <wp:effectExtent l="0" t="0" r="2540" b="0"/>
            <wp:docPr id="2" name="Picture 2" descr="Maryland State Department of Education Equity and Excellence&#10;&#10;Mohammed Choudhury&#10;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ryland State Department of Education Equity and Excellence&#10;&#10;Mohammed Choudhury&#10;State Superintendent of Schools"/>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1095375"/>
                    </a:xfrm>
                    <a:prstGeom prst="rect">
                      <a:avLst/>
                    </a:prstGeom>
                  </pic:spPr>
                </pic:pic>
              </a:graphicData>
            </a:graphic>
          </wp:inline>
        </w:drawing>
      </w:r>
    </w:p>
    <w:p w14:paraId="01DBB3AA" w14:textId="5F5DC56E" w:rsidR="00A569DF" w:rsidRPr="000A2650" w:rsidRDefault="002871A8" w:rsidP="002871A8">
      <w:pPr>
        <w:pStyle w:val="Heading2"/>
        <w:jc w:val="center"/>
        <w:rPr>
          <w:rFonts w:ascii="Arial" w:hAnsi="Arial" w:cs="Arial"/>
          <w:sz w:val="32"/>
          <w:szCs w:val="32"/>
        </w:rPr>
      </w:pPr>
      <w:r w:rsidRPr="000A2650">
        <w:rPr>
          <w:rFonts w:ascii="Arial" w:hAnsi="Arial" w:cs="Arial"/>
          <w:sz w:val="32"/>
          <w:szCs w:val="32"/>
        </w:rPr>
        <w:t>Division of Early Childhood Indirect Cost Policy</w:t>
      </w:r>
    </w:p>
    <w:p w14:paraId="2B6BF3CD" w14:textId="6774D1BE" w:rsidR="002871A8" w:rsidRDefault="002871A8" w:rsidP="002871A8">
      <w:pPr>
        <w:rPr>
          <w:rFonts w:eastAsia="Calibri"/>
        </w:rPr>
      </w:pPr>
    </w:p>
    <w:p w14:paraId="4E8D5FE8" w14:textId="77777777" w:rsidR="002871A8" w:rsidRDefault="002871A8" w:rsidP="002871A8">
      <w:pPr>
        <w:rPr>
          <w:rFonts w:ascii="Arial" w:hAnsi="Arial" w:cs="Arial"/>
          <w:color w:val="000000"/>
          <w:sz w:val="21"/>
          <w:szCs w:val="21"/>
        </w:rPr>
      </w:pPr>
      <w:r>
        <w:rPr>
          <w:rFonts w:ascii="Arial" w:hAnsi="Arial" w:cs="Arial"/>
          <w:color w:val="000000"/>
          <w:sz w:val="21"/>
          <w:szCs w:val="21"/>
          <w:shd w:val="clear" w:color="auto" w:fill="FFFFFF"/>
        </w:rPr>
        <w:t xml:space="preserve">Pursuant to the requirements set forth for pass-through entities (PTEs) in the U. S. Code of Federal Regulations </w:t>
      </w:r>
      <w:hyperlink r:id="rId9" w:anchor="p-200.332(a)(4)" w:history="1">
        <w:r w:rsidRPr="00F9787B">
          <w:rPr>
            <w:rStyle w:val="Hyperlink"/>
            <w:rFonts w:ascii="Arial" w:hAnsi="Arial" w:cs="Arial"/>
            <w:sz w:val="21"/>
            <w:szCs w:val="21"/>
            <w:shd w:val="clear" w:color="auto" w:fill="FFFFFF"/>
          </w:rPr>
          <w:t>§200.332(a)(4</w:t>
        </w:r>
      </w:hyperlink>
      <w:r>
        <w:rPr>
          <w:rFonts w:ascii="Arial" w:hAnsi="Arial" w:cs="Arial"/>
          <w:color w:val="000000"/>
          <w:sz w:val="21"/>
          <w:szCs w:val="21"/>
          <w:shd w:val="clear" w:color="auto" w:fill="FFFFFF"/>
        </w:rPr>
        <w:t>), MS</w:t>
      </w:r>
      <w:r>
        <w:rPr>
          <w:rFonts w:ascii="Arial" w:hAnsi="Arial" w:cs="Arial"/>
          <w:color w:val="000000"/>
          <w:sz w:val="21"/>
          <w:szCs w:val="21"/>
        </w:rPr>
        <w:t>DE has adopted the following policy regarding its application of the indirect cost rates applied to sub awards as follows:</w:t>
      </w:r>
    </w:p>
    <w:p w14:paraId="20A518CE" w14:textId="77777777" w:rsidR="002871A8" w:rsidRDefault="002871A8" w:rsidP="002871A8">
      <w:pPr>
        <w:rPr>
          <w:rFonts w:ascii="Arial" w:hAnsi="Arial" w:cs="Arial"/>
          <w:color w:val="000000"/>
          <w:sz w:val="21"/>
          <w:szCs w:val="21"/>
        </w:rPr>
      </w:pPr>
    </w:p>
    <w:p w14:paraId="78B56249" w14:textId="24317984" w:rsidR="002871A8" w:rsidRDefault="002871A8" w:rsidP="002871A8">
      <w:pPr>
        <w:rPr>
          <w:rFonts w:ascii="Arial" w:hAnsi="Arial" w:cs="Arial"/>
          <w:color w:val="000000"/>
          <w:sz w:val="21"/>
          <w:szCs w:val="21"/>
        </w:rPr>
      </w:pPr>
      <w:r>
        <w:rPr>
          <w:rFonts w:ascii="Arial" w:hAnsi="Arial" w:cs="Arial"/>
          <w:color w:val="000000"/>
          <w:sz w:val="21"/>
          <w:szCs w:val="21"/>
        </w:rPr>
        <w:t>For sub awards issued to Local Education Agencies (LEAs), the approved rates issued by MSDE’s Local Reporting Office should be applied.</w:t>
      </w:r>
    </w:p>
    <w:p w14:paraId="190F8723" w14:textId="03BFF673" w:rsidR="00F5791F" w:rsidRDefault="00F5791F" w:rsidP="002871A8">
      <w:pPr>
        <w:rPr>
          <w:rFonts w:ascii="Arial" w:hAnsi="Arial" w:cs="Arial"/>
          <w:color w:val="000000"/>
          <w:sz w:val="21"/>
          <w:szCs w:val="21"/>
        </w:rPr>
      </w:pPr>
    </w:p>
    <w:p w14:paraId="0975C08C" w14:textId="4F26738F" w:rsidR="00F5791F" w:rsidRDefault="00F5791F" w:rsidP="00F5791F">
      <w:r>
        <w:rPr>
          <w:rFonts w:ascii="Arial" w:hAnsi="Arial" w:cs="Arial"/>
          <w:color w:val="000000"/>
          <w:sz w:val="21"/>
          <w:szCs w:val="21"/>
        </w:rPr>
        <w:t xml:space="preserve">For sub awards issued to Nonprofit Organizations, MSDE will accept the Nonprofit Organizations’ </w:t>
      </w:r>
      <w:proofErr w:type="gramStart"/>
      <w:r>
        <w:rPr>
          <w:rFonts w:ascii="Arial" w:hAnsi="Arial" w:cs="Arial"/>
          <w:color w:val="000000"/>
          <w:sz w:val="21"/>
          <w:szCs w:val="21"/>
        </w:rPr>
        <w:t>federally-negotiated</w:t>
      </w:r>
      <w:proofErr w:type="gramEnd"/>
      <w:r>
        <w:rPr>
          <w:rFonts w:ascii="Arial" w:hAnsi="Arial" w:cs="Arial"/>
          <w:color w:val="000000"/>
          <w:sz w:val="21"/>
          <w:szCs w:val="21"/>
        </w:rPr>
        <w:t xml:space="preserve"> and received indirect cost rates.  However, MSDE will cap sub grant rates at its own negotiated federal unrestricted indirect cost rate as approved by the U.S. Department of Education (USDE). This allows us to sensibly structure grants so that our partners are funded for the cost of efficiently delivering results. If the Nonprofit Organization has no </w:t>
      </w:r>
      <w:proofErr w:type="gramStart"/>
      <w:r>
        <w:rPr>
          <w:rFonts w:ascii="Arial" w:hAnsi="Arial" w:cs="Arial"/>
          <w:color w:val="000000"/>
          <w:sz w:val="21"/>
          <w:szCs w:val="21"/>
        </w:rPr>
        <w:t>federally-negotiated</w:t>
      </w:r>
      <w:proofErr w:type="gramEnd"/>
      <w:r>
        <w:rPr>
          <w:rFonts w:ascii="Arial" w:hAnsi="Arial" w:cs="Arial"/>
          <w:color w:val="000000"/>
          <w:sz w:val="21"/>
          <w:szCs w:val="21"/>
        </w:rPr>
        <w:t xml:space="preserve"> and received an indirect cost rate, MSDE will allow the 10% Federal de Minimis rate of the modified total direct cost (MTDC) under OMB Uniform Guidance. (</w:t>
      </w:r>
      <w:hyperlink r:id="rId10" w:anchor="p-200.414" w:history="1">
        <w:r w:rsidRPr="007D2A59">
          <w:rPr>
            <w:rStyle w:val="Hyperlink"/>
            <w:rFonts w:ascii="Arial" w:hAnsi="Arial" w:cs="Arial"/>
            <w:sz w:val="21"/>
            <w:szCs w:val="21"/>
          </w:rPr>
          <w:t>see 200.414</w:t>
        </w:r>
      </w:hyperlink>
      <w:r>
        <w:rPr>
          <w:rFonts w:ascii="Arial" w:hAnsi="Arial" w:cs="Arial"/>
          <w:color w:val="000000"/>
          <w:sz w:val="21"/>
          <w:szCs w:val="21"/>
        </w:rPr>
        <w:t>)</w:t>
      </w:r>
    </w:p>
    <w:p w14:paraId="61888759" w14:textId="77777777" w:rsidR="002871A8" w:rsidRDefault="002871A8" w:rsidP="002871A8">
      <w:pPr>
        <w:pStyle w:val="NormalWeb"/>
        <w:shd w:val="clear" w:color="auto" w:fill="FFFFFF"/>
        <w:rPr>
          <w:rFonts w:ascii="Arial" w:hAnsi="Arial" w:cs="Arial"/>
          <w:color w:val="000000"/>
          <w:sz w:val="21"/>
          <w:szCs w:val="21"/>
        </w:rPr>
      </w:pPr>
      <w:r>
        <w:rPr>
          <w:rFonts w:ascii="Arial" w:hAnsi="Arial" w:cs="Arial"/>
          <w:color w:val="000000"/>
          <w:sz w:val="21"/>
          <w:szCs w:val="21"/>
        </w:rPr>
        <w:t>For all non-LEA sub awards supported by:</w:t>
      </w:r>
    </w:p>
    <w:p w14:paraId="4DBD52D9" w14:textId="700C88A4" w:rsidR="002871A8" w:rsidRPr="00F77470" w:rsidRDefault="002871A8" w:rsidP="002871A8">
      <w:pPr>
        <w:pStyle w:val="NormalWeb"/>
        <w:shd w:val="clear" w:color="auto" w:fill="FFFFFF"/>
        <w:ind w:left="720"/>
        <w:rPr>
          <w:rFonts w:ascii="Arial" w:hAnsi="Arial" w:cs="Arial"/>
          <w:b/>
          <w:color w:val="000000"/>
          <w:sz w:val="21"/>
          <w:szCs w:val="21"/>
        </w:rPr>
      </w:pPr>
      <w:r w:rsidRPr="00F77470">
        <w:rPr>
          <w:rFonts w:ascii="Arial" w:hAnsi="Arial" w:cs="Arial"/>
          <w:b/>
          <w:color w:val="000000"/>
          <w:sz w:val="21"/>
          <w:szCs w:val="21"/>
        </w:rPr>
        <w:t>Federal funds, MSDE will:</w:t>
      </w:r>
    </w:p>
    <w:p w14:paraId="73202FC9" w14:textId="77777777" w:rsidR="002871A8" w:rsidRDefault="002871A8" w:rsidP="002871A8">
      <w:pPr>
        <w:pStyle w:val="NormalWeb"/>
        <w:numPr>
          <w:ilvl w:val="0"/>
          <w:numId w:val="3"/>
        </w:numPr>
        <w:shd w:val="clear" w:color="auto" w:fill="FFFFFF"/>
        <w:ind w:left="1920"/>
        <w:rPr>
          <w:rFonts w:ascii="Arial" w:hAnsi="Arial" w:cs="Arial"/>
          <w:color w:val="000000"/>
          <w:sz w:val="21"/>
          <w:szCs w:val="21"/>
        </w:rPr>
      </w:pPr>
      <w:r>
        <w:rPr>
          <w:rFonts w:ascii="Arial" w:hAnsi="Arial" w:cs="Arial"/>
          <w:color w:val="000000"/>
          <w:sz w:val="21"/>
          <w:szCs w:val="21"/>
        </w:rPr>
        <w:t xml:space="preserve">Accept the sub recipients’ </w:t>
      </w:r>
      <w:proofErr w:type="gramStart"/>
      <w:r>
        <w:rPr>
          <w:rFonts w:ascii="Arial" w:hAnsi="Arial" w:cs="Arial"/>
          <w:color w:val="000000"/>
          <w:sz w:val="21"/>
          <w:szCs w:val="21"/>
        </w:rPr>
        <w:t>federally-negotiated</w:t>
      </w:r>
      <w:proofErr w:type="gramEnd"/>
      <w:r>
        <w:rPr>
          <w:rFonts w:ascii="Arial" w:hAnsi="Arial" w:cs="Arial"/>
          <w:color w:val="000000"/>
          <w:sz w:val="21"/>
          <w:szCs w:val="21"/>
        </w:rPr>
        <w:t xml:space="preserve">, approved indirect cost rates.  However, </w:t>
      </w:r>
      <w:r w:rsidRPr="007D2A59">
        <w:rPr>
          <w:rFonts w:ascii="Arial" w:hAnsi="Arial" w:cs="Arial"/>
          <w:color w:val="000000"/>
          <w:sz w:val="21"/>
          <w:szCs w:val="21"/>
        </w:rPr>
        <w:t>MSDE</w:t>
      </w:r>
      <w:r>
        <w:rPr>
          <w:rFonts w:ascii="Arial" w:hAnsi="Arial" w:cs="Arial"/>
          <w:color w:val="000000"/>
          <w:sz w:val="21"/>
          <w:szCs w:val="21"/>
        </w:rPr>
        <w:t xml:space="preserve"> will cap sub grant rates at its own </w:t>
      </w:r>
      <w:r w:rsidRPr="007D2A59">
        <w:rPr>
          <w:rFonts w:ascii="Arial" w:hAnsi="Arial" w:cs="Arial"/>
          <w:color w:val="000000"/>
          <w:sz w:val="21"/>
          <w:szCs w:val="21"/>
        </w:rPr>
        <w:t>negotiated federal unrestricted indirect cost rate as approved by the U.S. Department of Education</w:t>
      </w:r>
      <w:r>
        <w:rPr>
          <w:rFonts w:ascii="Arial" w:hAnsi="Arial" w:cs="Arial"/>
          <w:color w:val="000000"/>
          <w:sz w:val="21"/>
          <w:szCs w:val="21"/>
        </w:rPr>
        <w:t xml:space="preserve"> (USDE)</w:t>
      </w:r>
      <w:r w:rsidRPr="007D2A59">
        <w:rPr>
          <w:rFonts w:ascii="Arial" w:hAnsi="Arial" w:cs="Arial"/>
          <w:color w:val="000000"/>
          <w:sz w:val="21"/>
          <w:szCs w:val="21"/>
        </w:rPr>
        <w:t>. This allows us to</w:t>
      </w:r>
      <w:r>
        <w:rPr>
          <w:rFonts w:ascii="Arial" w:hAnsi="Arial" w:cs="Arial"/>
          <w:color w:val="000000"/>
          <w:sz w:val="21"/>
          <w:szCs w:val="21"/>
        </w:rPr>
        <w:t xml:space="preserve"> sensibly</w:t>
      </w:r>
      <w:r w:rsidRPr="007D2A59">
        <w:rPr>
          <w:rFonts w:ascii="Arial" w:hAnsi="Arial" w:cs="Arial"/>
          <w:color w:val="000000"/>
          <w:sz w:val="21"/>
          <w:szCs w:val="21"/>
        </w:rPr>
        <w:t xml:space="preserve"> structure grants</w:t>
      </w:r>
      <w:r>
        <w:rPr>
          <w:rFonts w:ascii="Arial" w:hAnsi="Arial" w:cs="Arial"/>
          <w:color w:val="000000"/>
          <w:sz w:val="21"/>
          <w:szCs w:val="21"/>
        </w:rPr>
        <w:t xml:space="preserve"> so that our </w:t>
      </w:r>
      <w:r w:rsidRPr="007D2A59">
        <w:rPr>
          <w:rFonts w:ascii="Arial" w:hAnsi="Arial" w:cs="Arial"/>
          <w:color w:val="000000"/>
          <w:sz w:val="21"/>
          <w:szCs w:val="21"/>
        </w:rPr>
        <w:t>partners</w:t>
      </w:r>
      <w:r>
        <w:rPr>
          <w:rFonts w:ascii="Arial" w:hAnsi="Arial" w:cs="Arial"/>
          <w:color w:val="000000"/>
          <w:sz w:val="21"/>
          <w:szCs w:val="21"/>
        </w:rPr>
        <w:t xml:space="preserve"> are funded</w:t>
      </w:r>
      <w:r w:rsidRPr="007D2A59">
        <w:rPr>
          <w:rFonts w:ascii="Arial" w:hAnsi="Arial" w:cs="Arial"/>
          <w:color w:val="000000"/>
          <w:sz w:val="21"/>
          <w:szCs w:val="21"/>
        </w:rPr>
        <w:t xml:space="preserve"> for the cost of </w:t>
      </w:r>
      <w:r>
        <w:rPr>
          <w:rFonts w:ascii="Arial" w:hAnsi="Arial" w:cs="Arial"/>
          <w:color w:val="000000"/>
          <w:sz w:val="21"/>
          <w:szCs w:val="21"/>
        </w:rPr>
        <w:t xml:space="preserve">efficiently </w:t>
      </w:r>
      <w:r w:rsidRPr="007D2A59">
        <w:rPr>
          <w:rFonts w:ascii="Arial" w:hAnsi="Arial" w:cs="Arial"/>
          <w:color w:val="000000"/>
          <w:sz w:val="21"/>
          <w:szCs w:val="21"/>
        </w:rPr>
        <w:t>delivering results.</w:t>
      </w:r>
      <w:r>
        <w:rPr>
          <w:rFonts w:ascii="Arial" w:hAnsi="Arial" w:cs="Arial"/>
          <w:color w:val="000000"/>
          <w:sz w:val="21"/>
          <w:szCs w:val="21"/>
        </w:rPr>
        <w:t xml:space="preserve"> </w:t>
      </w:r>
    </w:p>
    <w:p w14:paraId="34D633DF" w14:textId="77777777" w:rsidR="002871A8" w:rsidRDefault="002871A8" w:rsidP="002871A8">
      <w:pPr>
        <w:pStyle w:val="NormalWeb"/>
        <w:numPr>
          <w:ilvl w:val="0"/>
          <w:numId w:val="3"/>
        </w:numPr>
        <w:shd w:val="clear" w:color="auto" w:fill="FFFFFF"/>
        <w:ind w:left="1920"/>
        <w:rPr>
          <w:rFonts w:ascii="Arial" w:hAnsi="Arial" w:cs="Arial"/>
          <w:color w:val="000000"/>
          <w:sz w:val="21"/>
          <w:szCs w:val="21"/>
        </w:rPr>
      </w:pPr>
      <w:r>
        <w:rPr>
          <w:rFonts w:ascii="Arial" w:hAnsi="Arial" w:cs="Arial"/>
          <w:color w:val="000000"/>
          <w:sz w:val="21"/>
          <w:szCs w:val="21"/>
        </w:rPr>
        <w:t>Apply the 10% Federal de Minimis rate indefinitely (</w:t>
      </w:r>
      <w:hyperlink r:id="rId11" w:anchor="p-200.414" w:history="1">
        <w:r w:rsidRPr="007D2A59">
          <w:rPr>
            <w:rStyle w:val="Hyperlink"/>
            <w:rFonts w:ascii="Arial" w:hAnsi="Arial" w:cs="Arial"/>
            <w:sz w:val="21"/>
            <w:szCs w:val="21"/>
          </w:rPr>
          <w:t>see 200.414</w:t>
        </w:r>
      </w:hyperlink>
      <w:r>
        <w:rPr>
          <w:rFonts w:ascii="Arial" w:hAnsi="Arial" w:cs="Arial"/>
          <w:color w:val="000000"/>
          <w:sz w:val="21"/>
          <w:szCs w:val="21"/>
        </w:rPr>
        <w:t>):</w:t>
      </w:r>
    </w:p>
    <w:p w14:paraId="1890C39D" w14:textId="77777777" w:rsidR="002871A8" w:rsidRDefault="002871A8" w:rsidP="002871A8">
      <w:pPr>
        <w:pStyle w:val="NormalWeb"/>
        <w:numPr>
          <w:ilvl w:val="1"/>
          <w:numId w:val="3"/>
        </w:numPr>
        <w:shd w:val="clear" w:color="auto" w:fill="FFFFFF"/>
        <w:ind w:left="2640"/>
        <w:rPr>
          <w:rFonts w:ascii="Arial" w:hAnsi="Arial" w:cs="Arial"/>
          <w:color w:val="000000"/>
          <w:sz w:val="21"/>
          <w:szCs w:val="21"/>
        </w:rPr>
      </w:pPr>
      <w:r>
        <w:rPr>
          <w:rFonts w:ascii="Arial" w:hAnsi="Arial" w:cs="Arial"/>
          <w:color w:val="000000"/>
          <w:sz w:val="21"/>
          <w:szCs w:val="21"/>
        </w:rPr>
        <w:t xml:space="preserve">when no </w:t>
      </w:r>
      <w:proofErr w:type="gramStart"/>
      <w:r>
        <w:rPr>
          <w:rFonts w:ascii="Arial" w:hAnsi="Arial" w:cs="Arial"/>
          <w:color w:val="000000"/>
          <w:sz w:val="21"/>
          <w:szCs w:val="21"/>
        </w:rPr>
        <w:t>federally-negotiated</w:t>
      </w:r>
      <w:proofErr w:type="gramEnd"/>
      <w:r>
        <w:rPr>
          <w:rFonts w:ascii="Arial" w:hAnsi="Arial" w:cs="Arial"/>
          <w:color w:val="000000"/>
          <w:sz w:val="21"/>
          <w:szCs w:val="21"/>
        </w:rPr>
        <w:t>, approved rates (including provisional) exist, or</w:t>
      </w:r>
    </w:p>
    <w:p w14:paraId="04AD0A19" w14:textId="77777777" w:rsidR="002871A8" w:rsidRDefault="002871A8" w:rsidP="002871A8">
      <w:pPr>
        <w:pStyle w:val="NormalWeb"/>
        <w:numPr>
          <w:ilvl w:val="1"/>
          <w:numId w:val="3"/>
        </w:numPr>
        <w:shd w:val="clear" w:color="auto" w:fill="FFFFFF"/>
        <w:ind w:left="2640"/>
        <w:rPr>
          <w:rFonts w:ascii="Arial" w:hAnsi="Arial" w:cs="Arial"/>
          <w:color w:val="000000"/>
          <w:sz w:val="21"/>
          <w:szCs w:val="21"/>
        </w:rPr>
      </w:pPr>
      <w:r>
        <w:rPr>
          <w:rFonts w:ascii="Arial" w:hAnsi="Arial" w:cs="Arial"/>
          <w:color w:val="000000"/>
          <w:sz w:val="21"/>
          <w:szCs w:val="21"/>
        </w:rPr>
        <w:t>when sub recipients opt to use the 10% de Minimis rate. N</w:t>
      </w:r>
      <w:r w:rsidRPr="006D2D16">
        <w:rPr>
          <w:rFonts w:ascii="Arial" w:hAnsi="Arial" w:cs="Arial"/>
          <w:color w:val="000000"/>
          <w:sz w:val="21"/>
          <w:szCs w:val="21"/>
        </w:rPr>
        <w:t xml:space="preserve">o documentation is required to justify the </w:t>
      </w:r>
      <w:r>
        <w:rPr>
          <w:rFonts w:ascii="Arial" w:hAnsi="Arial" w:cs="Arial"/>
          <w:color w:val="000000"/>
          <w:sz w:val="21"/>
          <w:szCs w:val="21"/>
        </w:rPr>
        <w:t xml:space="preserve">use of the </w:t>
      </w:r>
      <w:r w:rsidRPr="006D2D16">
        <w:rPr>
          <w:rFonts w:ascii="Arial" w:hAnsi="Arial" w:cs="Arial"/>
          <w:color w:val="000000"/>
          <w:sz w:val="21"/>
          <w:szCs w:val="21"/>
        </w:rPr>
        <w:t xml:space="preserve">10% de Minimis indirect cost rate. As described in </w:t>
      </w:r>
      <w:hyperlink r:id="rId12" w:history="1">
        <w:r w:rsidRPr="00F9787B">
          <w:rPr>
            <w:rStyle w:val="Hyperlink"/>
            <w:rFonts w:ascii="Arial" w:hAnsi="Arial" w:cs="Arial"/>
            <w:sz w:val="21"/>
            <w:szCs w:val="21"/>
          </w:rPr>
          <w:t>§200.403</w:t>
        </w:r>
      </w:hyperlink>
      <w:r w:rsidRPr="006D2D16">
        <w:rPr>
          <w:rFonts w:ascii="Arial" w:hAnsi="Arial" w:cs="Arial"/>
          <w:color w:val="000000"/>
          <w:sz w:val="21"/>
          <w:szCs w:val="21"/>
        </w:rPr>
        <w:t>, costs must be consistently charged as either indirect or direct costs, but may not be double charged or inconsistently charged as both. If chosen, this methodology once elected must be used consistently for all Federal awards until such time as a non-Federal entity chooses to negotiate for a rate, which the non-Federal entity may apply to do at any time.</w:t>
      </w:r>
    </w:p>
    <w:p w14:paraId="7D690D10" w14:textId="2492F246" w:rsidR="002871A8" w:rsidRDefault="002871A8" w:rsidP="002871A8">
      <w:pPr>
        <w:pStyle w:val="NormalWeb"/>
        <w:shd w:val="clear" w:color="auto" w:fill="FFFFFF"/>
        <w:ind w:left="720"/>
        <w:rPr>
          <w:rFonts w:ascii="Arial" w:hAnsi="Arial" w:cs="Arial"/>
          <w:color w:val="000000"/>
          <w:sz w:val="21"/>
          <w:szCs w:val="21"/>
        </w:rPr>
      </w:pPr>
      <w:r>
        <w:rPr>
          <w:rFonts w:ascii="Arial" w:hAnsi="Arial" w:cs="Arial"/>
          <w:color w:val="000000"/>
          <w:sz w:val="21"/>
          <w:szCs w:val="21"/>
        </w:rPr>
        <w:t>MSDE’s</w:t>
      </w:r>
      <w:r w:rsidRPr="007D2A59">
        <w:rPr>
          <w:rFonts w:ascii="Arial" w:hAnsi="Arial" w:cs="Arial"/>
          <w:color w:val="000000"/>
          <w:sz w:val="21"/>
          <w:szCs w:val="21"/>
        </w:rPr>
        <w:t xml:space="preserve"> approved </w:t>
      </w:r>
      <w:r>
        <w:rPr>
          <w:rFonts w:ascii="Arial" w:hAnsi="Arial" w:cs="Arial"/>
          <w:color w:val="000000"/>
          <w:sz w:val="21"/>
          <w:szCs w:val="21"/>
        </w:rPr>
        <w:t xml:space="preserve">unrestricted </w:t>
      </w:r>
      <w:r w:rsidRPr="007D2A59">
        <w:rPr>
          <w:rFonts w:ascii="Arial" w:hAnsi="Arial" w:cs="Arial"/>
          <w:color w:val="000000"/>
          <w:sz w:val="21"/>
          <w:szCs w:val="21"/>
        </w:rPr>
        <w:t>rate through 6/30/202</w:t>
      </w:r>
      <w:r>
        <w:rPr>
          <w:rFonts w:ascii="Arial" w:hAnsi="Arial" w:cs="Arial"/>
          <w:color w:val="000000"/>
          <w:sz w:val="21"/>
          <w:szCs w:val="21"/>
        </w:rPr>
        <w:t>2</w:t>
      </w:r>
      <w:r w:rsidRPr="007D2A59">
        <w:rPr>
          <w:rFonts w:ascii="Arial" w:hAnsi="Arial" w:cs="Arial"/>
          <w:color w:val="000000"/>
          <w:sz w:val="21"/>
          <w:szCs w:val="21"/>
        </w:rPr>
        <w:t xml:space="preserve"> is 16.</w:t>
      </w:r>
      <w:r>
        <w:rPr>
          <w:rFonts w:ascii="Arial" w:hAnsi="Arial" w:cs="Arial"/>
          <w:color w:val="000000"/>
          <w:sz w:val="21"/>
          <w:szCs w:val="21"/>
        </w:rPr>
        <w:t>6</w:t>
      </w:r>
      <w:r w:rsidRPr="007D2A59">
        <w:rPr>
          <w:rFonts w:ascii="Arial" w:hAnsi="Arial" w:cs="Arial"/>
          <w:color w:val="000000"/>
          <w:sz w:val="21"/>
          <w:szCs w:val="21"/>
        </w:rPr>
        <w:t xml:space="preserve">% and will remain in effect until either a provisional or final rate is approved for use </w:t>
      </w:r>
      <w:r>
        <w:rPr>
          <w:rFonts w:ascii="Arial" w:hAnsi="Arial" w:cs="Arial"/>
          <w:color w:val="000000"/>
          <w:sz w:val="21"/>
          <w:szCs w:val="21"/>
        </w:rPr>
        <w:t xml:space="preserve">through 6/30/2022.  </w:t>
      </w:r>
      <w:proofErr w:type="gramStart"/>
      <w:r>
        <w:rPr>
          <w:rFonts w:ascii="Arial" w:hAnsi="Arial" w:cs="Arial"/>
          <w:color w:val="000000"/>
          <w:sz w:val="21"/>
          <w:szCs w:val="21"/>
        </w:rPr>
        <w:t>In the event that</w:t>
      </w:r>
      <w:proofErr w:type="gramEnd"/>
      <w:r>
        <w:rPr>
          <w:rFonts w:ascii="Arial" w:hAnsi="Arial" w:cs="Arial"/>
          <w:color w:val="000000"/>
          <w:sz w:val="21"/>
          <w:szCs w:val="21"/>
        </w:rPr>
        <w:t xml:space="preserve"> the FY2023 rate granted by the USDE is determined to be higher than the FY2022 rate of 16.6%, the sub recipients’ rates can be adjusted to the higher rate cap upon request</w:t>
      </w:r>
    </w:p>
    <w:p w14:paraId="592E6094" w14:textId="77777777" w:rsidR="00CA63DD" w:rsidRPr="00F24502" w:rsidRDefault="00CA63DD" w:rsidP="00CA63DD">
      <w:pPr>
        <w:pStyle w:val="NormalWeb"/>
        <w:shd w:val="clear" w:color="auto" w:fill="FFFFFF"/>
        <w:ind w:left="720"/>
        <w:rPr>
          <w:rFonts w:ascii="Arial" w:hAnsi="Arial" w:cs="Arial"/>
          <w:color w:val="000000"/>
          <w:sz w:val="21"/>
          <w:szCs w:val="21"/>
        </w:rPr>
      </w:pPr>
      <w:r w:rsidRPr="00F77470">
        <w:rPr>
          <w:rFonts w:ascii="Arial" w:hAnsi="Arial" w:cs="Arial"/>
          <w:b/>
          <w:color w:val="000000"/>
          <w:sz w:val="21"/>
          <w:szCs w:val="21"/>
        </w:rPr>
        <w:t>Non-Federal funds</w:t>
      </w:r>
      <w:r w:rsidRPr="00F24502">
        <w:rPr>
          <w:rFonts w:ascii="Arial" w:hAnsi="Arial" w:cs="Arial"/>
          <w:b/>
          <w:color w:val="000000"/>
          <w:sz w:val="21"/>
          <w:szCs w:val="21"/>
        </w:rPr>
        <w:t xml:space="preserve">, </w:t>
      </w:r>
      <w:r w:rsidRPr="00F24502">
        <w:rPr>
          <w:rFonts w:ascii="Arial" w:hAnsi="Arial" w:cs="Arial"/>
          <w:color w:val="000000"/>
          <w:sz w:val="21"/>
          <w:szCs w:val="21"/>
        </w:rPr>
        <w:t xml:space="preserve">MSDE will apply an indirect cost rate not higher than </w:t>
      </w:r>
      <w:r>
        <w:rPr>
          <w:rFonts w:ascii="Arial" w:hAnsi="Arial" w:cs="Arial"/>
          <w:color w:val="000000"/>
          <w:sz w:val="21"/>
          <w:szCs w:val="21"/>
        </w:rPr>
        <w:t>ten percent.</w:t>
      </w:r>
    </w:p>
    <w:p w14:paraId="079F50CD" w14:textId="1D4D4B30" w:rsidR="002871A8" w:rsidRDefault="002871A8" w:rsidP="002871A8">
      <w:pPr>
        <w:rPr>
          <w:rFonts w:ascii="Arial" w:hAnsi="Arial" w:cs="Arial"/>
          <w:color w:val="000000"/>
          <w:sz w:val="21"/>
          <w:szCs w:val="21"/>
        </w:rPr>
      </w:pPr>
    </w:p>
    <w:p w14:paraId="014F86DE" w14:textId="7E029FD0" w:rsidR="008F70BA" w:rsidRPr="002871A8" w:rsidRDefault="008F70BA" w:rsidP="002871A8">
      <w:pPr>
        <w:rPr>
          <w:rFonts w:eastAsia="Calibri"/>
        </w:rPr>
      </w:pPr>
    </w:p>
    <w:sectPr w:rsidR="008F70BA" w:rsidRPr="002871A8">
      <w:headerReference w:type="default" r:id="rId13"/>
      <w:footerReference w:type="default" r:id="rId14"/>
      <w:footerReference w:type="first" r:id="rId15"/>
      <w:pgSz w:w="12240" w:h="15840"/>
      <w:pgMar w:top="720" w:right="1152" w:bottom="720" w:left="1152"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5457" w14:textId="77777777" w:rsidR="00245605" w:rsidRDefault="00245605">
      <w:r>
        <w:separator/>
      </w:r>
    </w:p>
  </w:endnote>
  <w:endnote w:type="continuationSeparator" w:id="0">
    <w:p w14:paraId="55AD32E1" w14:textId="77777777" w:rsidR="00245605" w:rsidRDefault="0024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F5C2" w14:textId="77777777" w:rsidR="00433A51" w:rsidRDefault="00DF6301">
    <w:pPr>
      <w:pBdr>
        <w:top w:val="nil"/>
        <w:left w:val="nil"/>
        <w:bottom w:val="nil"/>
        <w:right w:val="nil"/>
        <w:between w:val="nil"/>
      </w:pBdr>
      <w:tabs>
        <w:tab w:val="center" w:pos="4320"/>
        <w:tab w:val="right" w:pos="8640"/>
      </w:tabs>
      <w:spacing w:line="36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200 WEST BALTIMORE STREET   |   BALTIMORE, MD 21201  </w:t>
    </w:r>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   410-767-0100  </w:t>
    </w:r>
    <w:r>
      <w:rPr>
        <w:rFonts w:ascii="Calibri" w:eastAsia="Calibri" w:hAnsi="Calibri" w:cs="Calibri"/>
        <w:color w:val="000000"/>
        <w:sz w:val="16"/>
        <w:szCs w:val="16"/>
      </w:rPr>
      <w:t xml:space="preserve">  |  </w:t>
    </w:r>
    <w:r>
      <w:rPr>
        <w:rFonts w:ascii="Calibri" w:eastAsia="Calibri" w:hAnsi="Calibri" w:cs="Calibri"/>
        <w:color w:val="000000"/>
        <w:sz w:val="18"/>
        <w:szCs w:val="18"/>
      </w:rPr>
      <w:t xml:space="preserve"> 410-333-6442 TTY/TDD </w:t>
    </w:r>
  </w:p>
  <w:p w14:paraId="19E60E37" w14:textId="77777777" w:rsidR="00433A51" w:rsidRDefault="00DF6301">
    <w:pPr>
      <w:pBdr>
        <w:top w:val="nil"/>
        <w:left w:val="nil"/>
        <w:bottom w:val="nil"/>
        <w:right w:val="nil"/>
        <w:between w:val="nil"/>
      </w:pBdr>
      <w:tabs>
        <w:tab w:val="center" w:pos="4320"/>
        <w:tab w:val="right" w:pos="8640"/>
      </w:tabs>
      <w:spacing w:line="360" w:lineRule="auto"/>
      <w:jc w:val="center"/>
      <w:rPr>
        <w:rFonts w:ascii="Calibri" w:eastAsia="Calibri" w:hAnsi="Calibri" w:cs="Calibri"/>
        <w:b/>
        <w:color w:val="000000"/>
        <w:sz w:val="21"/>
        <w:szCs w:val="21"/>
      </w:rPr>
    </w:pPr>
    <w:r>
      <w:rPr>
        <w:rFonts w:ascii="Calibri" w:eastAsia="Calibri" w:hAnsi="Calibri" w:cs="Calibri"/>
        <w:b/>
        <w:color w:val="000000"/>
        <w:sz w:val="20"/>
        <w:szCs w:val="20"/>
      </w:rPr>
      <w:t>MarylandPublicSchools.org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9CA4" w14:textId="77777777" w:rsidR="00433A51" w:rsidRDefault="00DF6301">
    <w:pPr>
      <w:pBdr>
        <w:top w:val="nil"/>
        <w:left w:val="nil"/>
        <w:bottom w:val="nil"/>
        <w:right w:val="nil"/>
        <w:between w:val="nil"/>
      </w:pBdr>
      <w:tabs>
        <w:tab w:val="center" w:pos="4320"/>
        <w:tab w:val="right" w:pos="8640"/>
      </w:tabs>
      <w:spacing w:line="36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200 WEST BALTIMORE STREET   |   BALTIMORE, MD 21201  </w:t>
    </w:r>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   410-767-0100  </w:t>
    </w:r>
    <w:r>
      <w:rPr>
        <w:rFonts w:ascii="Calibri" w:eastAsia="Calibri" w:hAnsi="Calibri" w:cs="Calibri"/>
        <w:color w:val="000000"/>
        <w:sz w:val="16"/>
        <w:szCs w:val="16"/>
      </w:rPr>
      <w:t xml:space="preserve">  |  </w:t>
    </w:r>
    <w:r>
      <w:rPr>
        <w:rFonts w:ascii="Calibri" w:eastAsia="Calibri" w:hAnsi="Calibri" w:cs="Calibri"/>
        <w:color w:val="000000"/>
        <w:sz w:val="18"/>
        <w:szCs w:val="18"/>
      </w:rPr>
      <w:t xml:space="preserve"> 410-333-6442 TTY/TDD </w:t>
    </w:r>
  </w:p>
  <w:p w14:paraId="336A1586" w14:textId="77777777" w:rsidR="00433A51" w:rsidRDefault="00DF6301">
    <w:pPr>
      <w:pBdr>
        <w:top w:val="nil"/>
        <w:left w:val="nil"/>
        <w:bottom w:val="nil"/>
        <w:right w:val="nil"/>
        <w:between w:val="nil"/>
      </w:pBdr>
      <w:tabs>
        <w:tab w:val="center" w:pos="4320"/>
        <w:tab w:val="right" w:pos="8640"/>
      </w:tabs>
      <w:spacing w:line="360" w:lineRule="auto"/>
      <w:jc w:val="center"/>
      <w:rPr>
        <w:rFonts w:ascii="Calibri" w:eastAsia="Calibri" w:hAnsi="Calibri" w:cs="Calibri"/>
        <w:b/>
        <w:color w:val="000000"/>
        <w:sz w:val="21"/>
        <w:szCs w:val="21"/>
      </w:rPr>
    </w:pPr>
    <w:r>
      <w:rPr>
        <w:rFonts w:ascii="Calibri" w:eastAsia="Calibri" w:hAnsi="Calibri" w:cs="Calibri"/>
        <w:b/>
        <w:color w:val="000000"/>
        <w:sz w:val="20"/>
        <w:szCs w:val="20"/>
      </w:rPr>
      <w:t>MarylandPublicSchools.org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EC47" w14:textId="77777777" w:rsidR="00245605" w:rsidRDefault="00245605">
      <w:r>
        <w:separator/>
      </w:r>
    </w:p>
  </w:footnote>
  <w:footnote w:type="continuationSeparator" w:id="0">
    <w:p w14:paraId="23EBC972" w14:textId="77777777" w:rsidR="00245605" w:rsidRDefault="0024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06E" w14:textId="77777777" w:rsidR="00433A51" w:rsidRDefault="00DF6301">
    <w:pPr>
      <w:pBdr>
        <w:top w:val="nil"/>
        <w:left w:val="nil"/>
        <w:bottom w:val="nil"/>
        <w:right w:val="nil"/>
        <w:between w:val="nil"/>
      </w:pBdr>
      <w:tabs>
        <w:tab w:val="center" w:pos="4320"/>
        <w:tab w:val="right" w:pos="8640"/>
      </w:tabs>
      <w:rPr>
        <w:rFonts w:ascii="Calibri" w:eastAsia="Calibri" w:hAnsi="Calibri" w:cs="Calibri"/>
        <w:color w:val="FF0000"/>
      </w:rPr>
    </w:pPr>
    <w:r>
      <w:rPr>
        <w:rFonts w:ascii="Calibri" w:eastAsia="Calibri" w:hAnsi="Calibri" w:cs="Calibri"/>
        <w:color w:val="FF0000"/>
      </w:rPr>
      <w:t>Grantee name</w:t>
    </w:r>
  </w:p>
  <w:p w14:paraId="78ED820D" w14:textId="77777777" w:rsidR="00433A51" w:rsidRDefault="00DF6301">
    <w:pPr>
      <w:rPr>
        <w:rFonts w:ascii="Calibri" w:eastAsia="Calibri" w:hAnsi="Calibri" w:cs="Calibri"/>
        <w:color w:val="FF0000"/>
      </w:rPr>
    </w:pPr>
    <w:r>
      <w:rPr>
        <w:rFonts w:ascii="Calibri" w:eastAsia="Calibri" w:hAnsi="Calibri" w:cs="Calibri"/>
        <w:color w:val="FF0000"/>
      </w:rPr>
      <w:t>Grantee title</w:t>
    </w:r>
  </w:p>
  <w:p w14:paraId="4AA3219C" w14:textId="410238C0" w:rsidR="00433A51" w:rsidRDefault="00DF6301">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F94ACD">
      <w:rPr>
        <w:rFonts w:ascii="Calibri" w:eastAsia="Calibri" w:hAnsi="Calibri" w:cs="Calibri"/>
        <w:b/>
        <w:noProof/>
        <w:color w:val="000000"/>
      </w:rPr>
      <w:t>2</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F94ACD">
      <w:rPr>
        <w:rFonts w:ascii="Calibri" w:eastAsia="Calibri" w:hAnsi="Calibri" w:cs="Calibri"/>
        <w:b/>
        <w:noProof/>
        <w:color w:val="000000"/>
      </w:rPr>
      <w:t>2</w:t>
    </w:r>
    <w:r>
      <w:rPr>
        <w:rFonts w:ascii="Calibri" w:eastAsia="Calibri" w:hAnsi="Calibri" w:cs="Calibri"/>
        <w:b/>
        <w:color w:val="000000"/>
      </w:rPr>
      <w:fldChar w:fldCharType="end"/>
    </w:r>
  </w:p>
  <w:p w14:paraId="6F4D454C" w14:textId="77777777" w:rsidR="00433A51" w:rsidRDefault="00433A51">
    <w:pPr>
      <w:pBdr>
        <w:top w:val="nil"/>
        <w:left w:val="nil"/>
        <w:bottom w:val="nil"/>
        <w:right w:val="nil"/>
        <w:between w:val="nil"/>
      </w:pBdr>
      <w:tabs>
        <w:tab w:val="center" w:pos="4320"/>
        <w:tab w:val="right" w:pos="864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43F"/>
    <w:multiLevelType w:val="hybridMultilevel"/>
    <w:tmpl w:val="33BC065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71826A4"/>
    <w:multiLevelType w:val="multilevel"/>
    <w:tmpl w:val="343ADCB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CD2B1F"/>
    <w:multiLevelType w:val="hybridMultilevel"/>
    <w:tmpl w:val="F1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772322">
    <w:abstractNumId w:val="1"/>
  </w:num>
  <w:num w:numId="2" w16cid:durableId="1881353914">
    <w:abstractNumId w:val="2"/>
  </w:num>
  <w:num w:numId="3" w16cid:durableId="2039575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51"/>
    <w:rsid w:val="00063279"/>
    <w:rsid w:val="000A2650"/>
    <w:rsid w:val="001417D6"/>
    <w:rsid w:val="001F7C95"/>
    <w:rsid w:val="00245605"/>
    <w:rsid w:val="002871A8"/>
    <w:rsid w:val="003E3454"/>
    <w:rsid w:val="00433A51"/>
    <w:rsid w:val="008F70BA"/>
    <w:rsid w:val="00A569DF"/>
    <w:rsid w:val="00A665F8"/>
    <w:rsid w:val="00AD6AC2"/>
    <w:rsid w:val="00BC6466"/>
    <w:rsid w:val="00C62C3D"/>
    <w:rsid w:val="00CA63DD"/>
    <w:rsid w:val="00D54ADE"/>
    <w:rsid w:val="00DE6F11"/>
    <w:rsid w:val="00DF6301"/>
    <w:rsid w:val="00F5791F"/>
    <w:rsid w:val="00F9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5CDD"/>
  <w15:docId w15:val="{06ECD6E1-AD13-481F-9CD4-3B31964B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6C4"/>
    <w:pPr>
      <w:keepNext/>
      <w:jc w:val="center"/>
      <w:outlineLvl w:val="0"/>
    </w:pPr>
    <w:rPr>
      <w:rFonts w:ascii="CG Times" w:eastAsia="Arial Unicode MS" w:hAnsi="CG Times"/>
      <w:b/>
      <w:bCs/>
      <w:spacing w:val="-3"/>
      <w:kern w:val="36"/>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EE54A6"/>
    <w:pPr>
      <w:tabs>
        <w:tab w:val="center" w:pos="4320"/>
        <w:tab w:val="right" w:pos="8640"/>
      </w:tabs>
    </w:pPr>
    <w:rPr>
      <w:lang w:val="x-none" w:eastAsia="x-none"/>
    </w:rPr>
  </w:style>
  <w:style w:type="paragraph" w:styleId="Footer">
    <w:name w:val="footer"/>
    <w:basedOn w:val="Normal"/>
    <w:link w:val="FooterChar"/>
    <w:rsid w:val="00EE54A6"/>
    <w:pPr>
      <w:tabs>
        <w:tab w:val="center" w:pos="4320"/>
        <w:tab w:val="right" w:pos="8640"/>
      </w:tabs>
    </w:pPr>
    <w:rPr>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292281"/>
    <w:rPr>
      <w:sz w:val="24"/>
      <w:szCs w:val="24"/>
    </w:rPr>
  </w:style>
  <w:style w:type="character" w:customStyle="1" w:styleId="HeaderChar">
    <w:name w:val="Header Char"/>
    <w:link w:val="Header"/>
    <w:uiPriority w:val="99"/>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506B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A5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71095">
      <w:bodyDiv w:val="1"/>
      <w:marLeft w:val="0"/>
      <w:marRight w:val="0"/>
      <w:marTop w:val="0"/>
      <w:marBottom w:val="0"/>
      <w:divBdr>
        <w:top w:val="none" w:sz="0" w:space="0" w:color="auto"/>
        <w:left w:val="none" w:sz="0" w:space="0" w:color="auto"/>
        <w:bottom w:val="none" w:sz="0" w:space="0" w:color="auto"/>
        <w:right w:val="none" w:sz="0" w:space="0" w:color="auto"/>
      </w:divBdr>
      <w:divsChild>
        <w:div w:id="1453939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fr.federalregister.gov/current/title-2/subtitle-A/chapter-II/part-200/subpart-E/subject-group-ECFRea20080eff2ea53/section-200.4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current/title-2/subtitle-A/chapter-II/part-200/subpart-E/subject-group-ECFRd93f2a98b1f6455/section-200.4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fr.federalregister.gov/current/title-2/subtitle-A/chapter-II/part-200/subpart-E/subject-group-ECFRd93f2a98b1f6455/section-200.414" TargetMode="External"/><Relationship Id="rId4" Type="http://schemas.openxmlformats.org/officeDocument/2006/relationships/settings" Target="settings.xml"/><Relationship Id="rId9" Type="http://schemas.openxmlformats.org/officeDocument/2006/relationships/hyperlink" Target="https://ecfr.federalregister.gov/current/title-2/subtitle-A/chapter-II/part-200/subpart-D/subject-group-ECFR031321e29ac5bbd/section-200.3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maq+7pk66NGw1xTFK593MYsJA==">AMUW2mWti0Y0jbhbOZSdNZulYesWGRVxEMu4HHDIhm49OQXzQnVPlhIq42WgtziexDv71jxxLzb6shXKuwClNd8J8eqeWj/qXEjHj75hA9ADzHZTZU+fqnM=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Eunice Lee</cp:lastModifiedBy>
  <cp:revision>5</cp:revision>
  <dcterms:created xsi:type="dcterms:W3CDTF">2022-07-29T13:30:00Z</dcterms:created>
  <dcterms:modified xsi:type="dcterms:W3CDTF">2022-07-29T14:06:00Z</dcterms:modified>
</cp:coreProperties>
</file>